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6D0" w:rsidRPr="008116D0" w:rsidRDefault="00E746EB" w:rsidP="008116D0">
      <w:pPr>
        <w:widowControl/>
        <w:spacing w:before="100" w:beforeAutospacing="1" w:after="100" w:afterAutospacing="1"/>
        <w:jc w:val="center"/>
        <w:outlineLvl w:val="1"/>
        <w:rPr>
          <w:rFonts w:ascii="微软雅黑" w:eastAsia="微软雅黑" w:hAnsi="微软雅黑" w:cs="宋体"/>
          <w:b/>
          <w:bCs/>
          <w:color w:val="000000"/>
          <w:kern w:val="36"/>
          <w:sz w:val="24"/>
          <w:szCs w:val="24"/>
        </w:rPr>
      </w:pPr>
      <w:r>
        <w:rPr>
          <w:rFonts w:ascii="微软雅黑" w:eastAsia="微软雅黑" w:hAnsi="微软雅黑" w:cs="宋体" w:hint="eastAsia"/>
          <w:b/>
          <w:bCs/>
          <w:color w:val="000000"/>
          <w:kern w:val="36"/>
          <w:sz w:val="24"/>
          <w:szCs w:val="24"/>
        </w:rPr>
        <w:t>阅读材料：</w:t>
      </w:r>
      <w:r w:rsidR="008116D0" w:rsidRPr="008116D0">
        <w:rPr>
          <w:rFonts w:ascii="微软雅黑" w:eastAsia="微软雅黑" w:hAnsi="微软雅黑" w:cs="宋体"/>
          <w:b/>
          <w:bCs/>
          <w:color w:val="000000"/>
          <w:kern w:val="36"/>
          <w:sz w:val="24"/>
          <w:szCs w:val="24"/>
        </w:rPr>
        <w:t>2014中国富豪阶层投资报告</w:t>
      </w:r>
    </w:p>
    <w:p w:rsidR="008116D0" w:rsidRPr="008116D0" w:rsidRDefault="008116D0" w:rsidP="008116D0">
      <w:pPr>
        <w:widowControl/>
        <w:spacing w:before="100" w:beforeAutospacing="1" w:after="100" w:afterAutospacing="1" w:line="380" w:lineRule="atLeast"/>
        <w:jc w:val="center"/>
        <w:rPr>
          <w:rFonts w:ascii="微软雅黑" w:eastAsia="微软雅黑" w:hAnsi="微软雅黑" w:cs="宋体"/>
          <w:color w:val="000000"/>
          <w:kern w:val="0"/>
          <w:sz w:val="24"/>
          <w:szCs w:val="24"/>
        </w:rPr>
      </w:pPr>
      <w:r w:rsidRPr="008116D0">
        <w:rPr>
          <w:rFonts w:ascii="微软雅黑" w:eastAsia="微软雅黑" w:hAnsi="微软雅黑" w:cs="宋体"/>
          <w:noProof/>
          <w:color w:val="000000"/>
          <w:kern w:val="0"/>
          <w:sz w:val="24"/>
          <w:szCs w:val="24"/>
        </w:rPr>
        <w:drawing>
          <wp:inline distT="0" distB="0" distL="0" distR="0">
            <wp:extent cx="4287520" cy="3019425"/>
            <wp:effectExtent l="19050" t="0" r="0" b="0"/>
            <wp:docPr id="1" name="图片 1" descr="http://www.licai.com/uploadfiles/image/20140221/20140221142623_7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cai.com/uploadfiles/image/20140221/20140221142623_7812.jpg"/>
                    <pic:cNvPicPr>
                      <a:picLocks noChangeAspect="1" noChangeArrowheads="1"/>
                    </pic:cNvPicPr>
                  </pic:nvPicPr>
                  <pic:blipFill>
                    <a:blip r:embed="rId7"/>
                    <a:srcRect/>
                    <a:stretch>
                      <a:fillRect/>
                    </a:stretch>
                  </pic:blipFill>
                  <pic:spPr bwMode="auto">
                    <a:xfrm>
                      <a:off x="0" y="0"/>
                      <a:ext cx="4287520" cy="3019425"/>
                    </a:xfrm>
                    <a:prstGeom prst="rect">
                      <a:avLst/>
                    </a:prstGeom>
                    <a:noFill/>
                    <a:ln w="9525">
                      <a:noFill/>
                      <a:miter lim="800000"/>
                      <a:headEnd/>
                      <a:tailEnd/>
                    </a:ln>
                  </pic:spPr>
                </pic:pic>
              </a:graphicData>
            </a:graphic>
          </wp:inline>
        </w:drawing>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今年，他们重在规避风险。</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岁月如梭，生命如织，在追求财富的旅途中，人们如想获得充满喜悦的人生，需要付出超乎想象的努力。投资对新贵阶层而言，已不仅仅是简单的财富追逐，更是一种生活方式的演绎。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什么是新贵阶层？这个名词最开始特指1978年后靠迅速的财富积累成长起来的新贵一代。现在多指富豪或称高</w:t>
      </w:r>
      <w:hyperlink r:id="rId8" w:tgtFrame="_blank" w:history="1">
        <w:r w:rsidRPr="008116D0">
          <w:rPr>
            <w:rFonts w:ascii="微软雅黑" w:eastAsia="微软雅黑" w:hAnsi="微软雅黑" w:cs="宋体" w:hint="eastAsia"/>
            <w:color w:val="12335F"/>
            <w:kern w:val="0"/>
            <w:sz w:val="24"/>
            <w:szCs w:val="24"/>
          </w:rPr>
          <w:t>净值</w:t>
        </w:r>
      </w:hyperlink>
      <w:r w:rsidRPr="008116D0">
        <w:rPr>
          <w:rFonts w:ascii="微软雅黑" w:eastAsia="微软雅黑" w:hAnsi="微软雅黑" w:cs="宋体" w:hint="eastAsia"/>
          <w:color w:val="000000"/>
          <w:kern w:val="0"/>
          <w:sz w:val="24"/>
          <w:szCs w:val="24"/>
        </w:rPr>
        <w:t xml:space="preserve">人群。纵使时空变化，代际更替，他们对中国的未来，包括对自己的未来都还很有信心。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截至2013年年底，中国大陆可投资资产超过1千万元人民币的高净值人士数量已逾105万人。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如果为这类人画一幅画像，这张画上更可能是一个四十岁左右的中年男子，他拥有硕士以上或EMBA学历，青睐红酒，喜欢收藏，不抽烟，最喜欢投资房地产和股票，他们的孩子或许在高中时期就已经出国留学。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如果你身在北京、广东、上海、浙江，将会有更高机率结识这些富豪朋友，因为这些地方拥有的高净值人群超过10万人。而全国其他地区的高净值人群也在猛增。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由于近几年房地产调控政策不断加码，通过投资房地产获利的人群占比明显下降，股票市场的不确定性也使得“规避风险”继续成为投资的首要指导理念。因此，高净值人士投资多元化的趋势愈加明显，除了房地产和股票，固定收益产品、黄金和艺术品已经成为前五位的投资选择。</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投资理念的变化也给另类投资带来机遇，尽管市场规模很难衡量，但规模的扩大却是毫无疑问。对生活品质的要求使高净值人群普遍开始接受寓“娱”于“商”，在享受生活的同时也带来回报。而新兴市场和买家也在支撑着另类投资市场，随着新贵群体的壮大，投资艺术品、葡萄酒等成为他们跻身上流社会的重要标识。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随着经济改革发展的不断深入，经济开始回归理性，快速暴富的机会越来越少，只有代表产业升级的高附加值领域才会是未来财富的新增长点，这其中，</w:t>
      </w:r>
      <w:r w:rsidRPr="008116D0">
        <w:rPr>
          <w:rFonts w:ascii="微软雅黑" w:eastAsia="微软雅黑" w:hAnsi="微软雅黑" w:cs="宋体" w:hint="eastAsia"/>
          <w:b/>
          <w:bCs/>
          <w:color w:val="000000"/>
          <w:kern w:val="0"/>
          <w:sz w:val="24"/>
          <w:szCs w:val="24"/>
        </w:rPr>
        <w:t>高科技和医疗保健行业最被看好。</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全球经济一体化的日益发展，使得资本的国际流动成为必然趋势。</w:t>
      </w:r>
      <w:r w:rsidRPr="008116D0">
        <w:rPr>
          <w:rFonts w:ascii="微软雅黑" w:eastAsia="微软雅黑" w:hAnsi="微软雅黑" w:cs="宋体" w:hint="eastAsia"/>
          <w:b/>
          <w:bCs/>
          <w:color w:val="000000"/>
          <w:kern w:val="0"/>
          <w:sz w:val="24"/>
          <w:szCs w:val="24"/>
        </w:rPr>
        <w:t>中国香港、美国和加拿大成为中国高净值客户海外资产配置的主要集中地，固定收益类产品和房地产为高净值人士的主要投资类别</w:t>
      </w:r>
      <w:r w:rsidRPr="008116D0">
        <w:rPr>
          <w:rFonts w:ascii="微软雅黑" w:eastAsia="微软雅黑" w:hAnsi="微软雅黑" w:cs="宋体" w:hint="eastAsia"/>
          <w:color w:val="000000"/>
          <w:kern w:val="0"/>
          <w:sz w:val="24"/>
          <w:szCs w:val="24"/>
        </w:rPr>
        <w:t>。目前，约六成的高净值人士表示自己正</w:t>
      </w:r>
      <w:r w:rsidRPr="008116D0">
        <w:rPr>
          <w:rFonts w:ascii="微软雅黑" w:eastAsia="微软雅黑" w:hAnsi="微软雅黑" w:cs="宋体" w:hint="eastAsia"/>
          <w:color w:val="000000"/>
          <w:kern w:val="0"/>
          <w:sz w:val="24"/>
          <w:szCs w:val="24"/>
        </w:rPr>
        <w:lastRenderedPageBreak/>
        <w:t xml:space="preserve">在考虑或已经完成投资移民，原因多集中在跨境多元化配置、子女教育、资产保值增值上。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新年伊始，《投资时报》联合数家第三方咨询机构及财富管理平台，调查整理出“投资时报·2014新贵阶层投资报告”，希望大家能从本报告中获得有价值的信息。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E53333"/>
          <w:kern w:val="0"/>
          <w:sz w:val="24"/>
          <w:szCs w:val="24"/>
        </w:rPr>
        <w:t>投资时报·2014新贵阶层投资报告part1</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高净值人群超105万北京1.07万亿万富翁领跑财富榜</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2013年千万富豪数量已超过105万人，比上一年增长3%，增幅为5年来最小。北京有18.4万位千万富豪，继续</w:t>
      </w:r>
      <w:hyperlink r:id="rId9" w:tgtFrame="_blank" w:history="1">
        <w:r w:rsidRPr="008116D0">
          <w:rPr>
            <w:rFonts w:ascii="微软雅黑" w:eastAsia="微软雅黑" w:hAnsi="微软雅黑" w:cs="宋体" w:hint="eastAsia"/>
            <w:b/>
            <w:bCs/>
            <w:color w:val="12335F"/>
            <w:kern w:val="0"/>
            <w:sz w:val="24"/>
            <w:szCs w:val="24"/>
          </w:rPr>
          <w:t>排名</w:t>
        </w:r>
      </w:hyperlink>
      <w:r w:rsidRPr="008116D0">
        <w:rPr>
          <w:rFonts w:ascii="微软雅黑" w:eastAsia="微软雅黑" w:hAnsi="微软雅黑" w:cs="宋体" w:hint="eastAsia"/>
          <w:b/>
          <w:bCs/>
          <w:color w:val="000000"/>
          <w:kern w:val="0"/>
          <w:sz w:val="24"/>
          <w:szCs w:val="24"/>
        </w:rPr>
        <w:t>第一，天津富豪数量增长最快。</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什么是新贵阶层？这个名词最开始特指1978年后，靠迅速的财富积累成长起来的富一代。现在指富豪或高净值人群。他们对中国的未来，包括对自己的未来都还很有信心。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目前，中国高净值人群(可投资资产超过1千万元人民币)规模逐年扩大。截至2013年年底，中国大陆千万富豪(可投资资产在1千万元人民币以上)人数已超过105万人，其中亿万富豪(可投资资产在1亿元人民币以上)人数达6.45万人，增幅分别为3%和2%，比2012年有所放缓。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高净值人群数量达105万人</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相比2012年的102万人，截至2013年底，千万富豪数量已超过105万人，增长3%，增幅为5年来最小。北京有18.4万位千万富豪，继续排名第一。前10位中，1到9位位次不变，天津上升一位至第10位。天津拥有富豪19000位，比2012年上升11%，是增速最快的一个城市。2012年，天津全市生产总值接近1.3万亿元，按可比价格计算，比2012年增长13.8%，居全国前列，滨海新区带动经济的作用明显。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2013年中国拥有亿万资产以上的高净值人群约6.45万人，仅比2012年增加了1000人，上升比例为2%。北京仍以10700人领跑亿万富豪人数排名。而山西、湖南、安徽亿万富豪排名位次较千万富豪的排名有更大提升。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目前全国拥有十亿元以上资产的富豪大约有8100人，比2012年增加600人。其中2700人为阳光财富，5400人为隐形财富。全国百亿富豪有280人，比2012年增加20人，阳光财富约132人，其余为隐形财富。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创办实业为财富主要来源</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2013年，全国共有4个省(直辖市、自治区)的高净值人群数量超过10万人，分别为北京、广东、上海、浙江；只有1个省(直辖市、自治区)的高净值人群数量处于10万～5万人之间，为江苏；14个省(直辖市、自治区)的高净值人群数量处在5万～1万人之间，分别为福建、山东、辽宁、四川、天津、河南、河北、湖南、山西、湖北、陕西、内蒙古、重庆、黑龙江；其余省市的高净值人群数量少于1万人。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在财富来源方面，高净值人群最重要的财富来源依然是创办实业，占到全部高净值人群的56%。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由于房地产调控的因素，和2012年相比，通过投资房地产获利的人群占比出现明显下降。相反，靠工资和福利累积的人群占比提升到第二位，这部分人群主要是企业高管或专业技术人士，如医生、律师等。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在未来新财富的来源方面，高科技和医疗保健行业最被看好。随着经济改革发展的不断深入，经济开始回归理性，快速暴富的机会越来越少，只有代表产业升级的高附加值领域才会是未来财富的新增长点。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你在其中吗？你想和他们交朋友吗？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千万资产以上人群平均年龄为38岁，超过半数仍集中在31～45岁。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男性占7成。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43%拥有硕士以上或EMBA学历。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千万富豪每年出国2.8次，平均每月出差7.5天。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投资回报和企业所有权出售是两大财富来源。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平均拥有3辆车、4块表。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平均每年拥有假期20天，休闲时喜欢旅游、看书、品茶，运动则喜欢游泳和高尔夫。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 超过7成会定期体检，1成有私人医生，半数不抽烟；7成喝酒，其中5成青睐红葡萄酒。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平均工作日睡眠6.6小时，周末睡眠7.2小时。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房地产还是最常见投资选择，股票仍居第二，但呈下降趋势。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2/3有收藏习惯，手表及古代字画是最普遍的收藏品类。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获取信息的渠道以网络为主，其次是社交活动和杂志。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认为纳税是体现企业家社会责任的最好方式，环保意识增强。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 1/3的富豪选择在高中时期将孩子送出国留学。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E53333"/>
          <w:kern w:val="0"/>
          <w:sz w:val="24"/>
          <w:szCs w:val="24"/>
        </w:rPr>
        <w:t>特别观察</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三大区域富人增速分化 环渤海经济圈涨势最猛</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伴随着越来越多省份高净值人群规模过万，东部沿海地区、中西部地区与环渤海经济圈的私人财富市场呈现出不同的增长态势。东部沿海地区高净值人士人数较多、基数较大，但受近年经济增长放缓影响，高净值人士人数增长趋于平缓。中西部地区在《工业转型升级规划(2011—2015年)》以及《国务院关于中西部地区承接产业转移的指导意见》等国家政策指引下，受益于地方工业产业发展、有序承接产业转移以及地方高新产业的成长，区域经济迅猛发展，高净值人群规模增长较快。作为中国经济的第三增长极，以京津为中心城市的环渤海经济圈将继续发挥“区域板块”优势，山东、天津等地高净值人群增长呈现强劲势头。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东南沿海：近两年，浙江、福建、广东等东南沿海省份受到部分中小企业出口增长放缓影响，高净值人群规模的增速有所下降。然而，东南沿海地区具有深厚的经济基础，随着国内外宏观经济环境的温和复苏，沿海省份的经济也将迎来新的增长机会。预计该地区高净值人群规模将保持稳健发展。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环渤海经济圈：借鉴长江三角洲、珠江三角洲“龙头带动，梯度发展”的发展模式，环渤海经济圈在京津等中心城市的带动下，实现区域板块发展。其中，山东、天津、辽宁等省份的经济增速可观，带动高净值人群快速增长。山东重点发展电子信息、生物、新能源新材料等高新技术产业；天津着力发展航空航天、石油化工等，力争打造中国高端制造业高地和国家级重化工业基地；辽宁依托领先的装备制造、精细化工技术等，加快地区的产业发展和经济升级。作为中国经济的第三增长极，环渤海经济圈的蓬勃发展，将带动高净值人群发展壮大。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中西部地区：随着西部大开发战略的深入推进和《促进中部地区崛起规划》的实施，中西部地区的高净值人群增长迅速。其中，四川省在“十二五”产业规划中提出，将大力发展新一代信息技术产业、新能源和高端装备制造业；湖北省鼓励建立高新技术产业园区，带动大型科技企业进驻；湖南省在“十二五”规划纲要中提出建设有色金属、生物医药、新材料、新能源以及电子信息等战略性新兴产业基地。上述举措预计将继续助力区域经济发展和高净值人群增长。(完)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w:t>
      </w:r>
      <w:r w:rsidRPr="008116D0">
        <w:rPr>
          <w:rFonts w:ascii="微软雅黑" w:eastAsia="微软雅黑" w:hAnsi="微软雅黑" w:cs="宋体" w:hint="eastAsia"/>
          <w:b/>
          <w:bCs/>
          <w:color w:val="E53333"/>
          <w:kern w:val="0"/>
          <w:sz w:val="24"/>
          <w:szCs w:val="24"/>
        </w:rPr>
        <w:t xml:space="preserve"> 投资时报·2014新贵阶层投资报告part2</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9%富豪强烈担忧 中国新贵2014首选“规避风险”</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w:t>
      </w:r>
      <w:r w:rsidRPr="008116D0">
        <w:rPr>
          <w:rFonts w:ascii="微软雅黑" w:eastAsia="微软雅黑" w:hAnsi="微软雅黑" w:cs="宋体" w:hint="eastAsia"/>
          <w:b/>
          <w:bCs/>
          <w:color w:val="000000"/>
          <w:kern w:val="0"/>
          <w:sz w:val="24"/>
          <w:szCs w:val="24"/>
        </w:rPr>
        <w:t>中国高净值人群对中国未来两年经济的信心止住了快速下跌的趋势，但担忧与观望的情绪仍在延续。</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随着经济改革发展的不断深入，经济开始回归理性，快速暴富的机会越来越少。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由于近几年房地产调控政策不断加码，通过投资房地产获利的人群占比明显下降，股票市场的不确定性也使得“规避风险”继续成为投资的首要指导理念。因此，中国高净值人士投资多元化的趋势愈加明显，除了房地产和股票，固定收益产品、黄金和艺术品已经成为前五位的投资选择。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投资理念的变化也给另类投资带来机遇，尽管市场规模很难衡量，但规模的扩大却是毫无疑问。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中国高净值人群继续规避风险</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过去一年，随着中国政治气象更新，对新一届政府的期待也带来了对中国经济的期待，中国高净值人群对中国未来两年经济的信心止住了快速下跌的趋势，但担忧与观望的情绪仍在延续。1/4的富豪表示非常有信心，较去年下降3%，而9%的富豪表现出强烈的担忧，比去年增长了2个百分点。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股市低迷、房地产市场仍受调控影响，各投资市场的不确定性使“规避风险”继续成为投资的首要指导理念，但另一方面也促使一部分富豪开始积极寻找新的投资标的，选择“积极投资”的占34%，比去年上升2个百分点。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波士顿公司展开的调查也显示，客户在风险偏好上也显得更为保守，不愿承受风险的客户从去年的30%上升到36%。高风险资产配比下降了10个百分点，减少了4成，减少的高风险资产中有70%转移到了低风险产品，如储蓄、银行理财产品中，推动低风险资产的配比提高了7个百分点。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对于高净值人群，房地产仍是第一投资选择，且有反弹趋势，比例达到64%，比2012年上升4%。股票仍居第二，但比例下降至44%。投资多元化的趋势愈加明显，固定收益产品、黄金和艺术品已经成为Top5的投资选择。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另类投资市场规模将逐渐扩大</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艺术品等非主流投资标的的崛起也带活了另类投资。所谓另类投资(A1temative Investment)，也称替代投资、非主流投资，指传统的股票、债券和现金之外的投资。另类投资最早起源于对冲基金，随后逐渐延伸至期货、</w:t>
      </w:r>
      <w:hyperlink r:id="rId10" w:tgtFrame="_blank" w:history="1">
        <w:r w:rsidRPr="008116D0">
          <w:rPr>
            <w:rFonts w:ascii="微软雅黑" w:eastAsia="微软雅黑" w:hAnsi="微软雅黑" w:cs="宋体" w:hint="eastAsia"/>
            <w:color w:val="12335F"/>
            <w:kern w:val="0"/>
            <w:sz w:val="24"/>
            <w:szCs w:val="24"/>
          </w:rPr>
          <w:t>私募基金</w:t>
        </w:r>
      </w:hyperlink>
      <w:r w:rsidRPr="008116D0">
        <w:rPr>
          <w:rFonts w:ascii="微软雅黑" w:eastAsia="微软雅黑" w:hAnsi="微软雅黑" w:cs="宋体" w:hint="eastAsia"/>
          <w:color w:val="000000"/>
          <w:kern w:val="0"/>
          <w:sz w:val="24"/>
          <w:szCs w:val="24"/>
        </w:rPr>
        <w:t xml:space="preserve">、风险投资等其他方面。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目前，一方面新的投资方式的加入使另类投资的外沿越来越大；另一方面，由于期货、房地产等投资标的普及，已使其成为主流投资方式不再被认为是另类投资。因此，另类投资一般指艺术品、酒类、钟表、珠宝等一系列属性更为特殊的投资标的。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由于外沿的不确定，另类投资的市场规模很难衡量，但是市场规模的扩大却是毫无疑问。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首先，另类投资的发展离不开全球市场这个宏观大背景，也随全球经济的波动而波动。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但是在经济形势不明朗的情况下，出于规避风险的需求，另类投资相对传统标的更具有吸引力，如艺术品、葡萄酒、钻石等都先后成为投资新宠。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其次，随着金融市场的发展、金融工具的完善和客户服务意识的深入，不少金融机构也乘势扩大投资领域，着力于产品创新，以满足客户的多样化需求，这也进一步促进了另类投资市场的发展。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最后，投资理念的变换也给另类投资带来机遇。对生活品质的要求使高净值人群普遍开始接受寓“娱”于“商”，在享受生活的同时也带来回报。而新兴市场和买家也在支撑着另类投资市场，随着新贵群体的壮大，投资艺术品、葡萄酒等成为他们跻身上流社会的重要标识。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兴趣与投资结合提升生活品质</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休闲娱乐已成为高净值人群生活中重要的一部分，高净值人群平均每周39个小时用于工作，21个小时用于休闲娱乐。在追求生活品质的同时带来收益无疑是更好的选择，所以越来越多的高净值人群选择将自己的兴趣与投资结合起来。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虽然房地产和股票仍居高净值人群投资方向的第一和第二位，但中国高净值人群另类投资专项调研显示，另类投资已经居高净值人群投资方向的第三位，投资比例超过一半。艺术品、珠宝玉石、酒和钟表都是受青睐的另类投资标的。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艺术品、钟表、珠宝玉石及公务机的投资意向专项调研结果显示，高净值人群未来对艺术品、钟表、珠宝玉石及公务机的投资意向都有不同程度的上升，酒类投资意向基本持平。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未来进行各品类另类投资或增加投资额最重要的原因都是出于个人兴趣，而减少投资的主要原因为市场不规范和变现难等。45%的高净值人群听说过艺术品基金，其中超过3成表示将来有可能购买。听说过葡萄酒基金的高净值人群达到24%，其中超过4成有意向购买。知道公务机基金的高净值人群也达到1 成，其中有购买意向的接近一半。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少数人士会选择另类投资金融产品</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由于另类投资品具有非标准性和弱流动性等特点，且中国人传统的投资习惯更倾向于拥有实物。因此，自行购买是中国高净值人群另类投资最常见的方式，通过拍卖行和经纪人委托代理也是重要的渠道，仅有少数会选择另类投资金融产品。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专项调研同时发现，女性在投资方式上更为多样，对拍卖行、经纪代理和银行/金融产品的接受度比男性高，尤其是拍卖行。专项调研显示，女性投资珠宝玉石选择拍卖行的比例比男性高10%(男性23%，女性33%)，投资酒类选择拍卖行的比例比男性高出10%(男性22%，女性32%)，投资艺术品选择拍卖行的比例也比男性高出9%(男性47%，女性56%)。这说明男性在投资上更具掌控意识和信心。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在俱乐部分享投资信息</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高净值人群在做另类投资时，最主要的信息来源是专业人士的意见(74%)。同时，投资带有明显的圈层特征，社交活动(65%)和口碑(40%)也是非常重要的信息来源。而在媒体的使用上，网络成为首选，占到一半以上，已经远超过杂志、报纸和电视的使用。我们也发现，另类投资者经常会在俱乐部中分享信息，交流投资之道。因此，另类投资品的圈层营销至关重要。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E53333"/>
          <w:kern w:val="0"/>
          <w:sz w:val="24"/>
          <w:szCs w:val="24"/>
        </w:rPr>
        <w:t>特别观察</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b/>
          <w:bCs/>
          <w:color w:val="000000"/>
          <w:kern w:val="0"/>
          <w:sz w:val="24"/>
          <w:szCs w:val="24"/>
        </w:rPr>
        <w:t>    企业主的选择</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从职业角度来看，中国高净值人士仍然以企业主为主，整体占比约为 60%左右。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一方面，传统企业面临产业调整及转型，企业经营受到诸多外界因素的影响，少部分传统行业企业主选择退休或转型寻找其他投资机会；另一方面，在国家产业和区域经济政策的推动下，近年来一些新兴产业及企业得以蓬勃发展，一批新兴企业主加入到这个群体。新兴企业主主要涌现于高新技术或新能源产业，以及传统制造业中的新兴细分市场等。这批新兴企业主普遍比较年轻，心态比较开放，对私人银行和其他财富管理机构的信任度较高。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作为最大的客户群体，企业主群体内部在理财需求和投资习惯的相关维度上进一步呈现差异化，尤其是在财富保障、跨境资产配置及理财渠道的选择上出现分化。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在财富保障和传承方面，超高净值的企业主(可投资资产规模在1万亿元以上)相比其他高净值企业主，具有更强的财富保障和跨境配置需求。在财富保障方面，他们普遍希望尽量控制风险以实现财富的稳健增长，且考虑财富传承的意愿更高。在跨境资产配置方面，他们中考虑或已经完成投资移民的比例较高，境外资产配比较高，并且通常已经具有一定使用境外财富管理机构的经验。比较典型的为拥有海外教育背景、自己或家人有海外生活经历的超高净值企业主。他们可能在生意上有较多的国际往来，同时由于较早开始关注境外投资，他们对于境外投资市场的环境和产品也有一定的认知。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从理财渠道和投资习惯的维度观察，企业主又集中表现出“积极理财型”和“稳健被动理财型”两种行为细分。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积极理财型”的企业主，除在机构理财渠道以外，还较多依靠自己或者家人、朋友的投资渠道进行理财。比较典型的为具有多年的积极投资经历或希望进行积极理财的企业主。他们对市场的波动具有较深认识，在经营企业以外，更乐于主动对不同的投资市场和产品进行研究，并且多方了解信息，听取业内投资人士建议，自己通过综合判断来进行投资决策。他们可能拥有较为丰富的财富管理机构以外的投资渠道，也希望通过渠道的多元化来分散风险，追求收益。这部分企业主对银行平台服务的效率和便捷性以及投资理财顾问服务的专业性都有很高要求。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与之相对应，“稳健被动理财型”的企业主对于私人银行投资渠道的依赖度较高，其主要精力放在个人事业经营上，希望选择一个长期信赖、服务全面的财富管理机构来帮助其管理资产，节省个人在投资理财上的时间和精力，以稳健投</w:t>
      </w:r>
      <w:r w:rsidRPr="008116D0">
        <w:rPr>
          <w:rFonts w:ascii="微软雅黑" w:eastAsia="微软雅黑" w:hAnsi="微软雅黑" w:cs="宋体" w:hint="eastAsia"/>
          <w:color w:val="000000"/>
          <w:kern w:val="0"/>
          <w:sz w:val="24"/>
          <w:szCs w:val="24"/>
        </w:rPr>
        <w:lastRenderedPageBreak/>
        <w:t xml:space="preserve">资实现财富的保值增值。对于这类客户，私人银行是他们进行财富保障的渠道，而不是追求财富快速增加的主要途径。他们可能更多依赖客户经理和投资顾问提供的市场信息和产品分析，非常关注私人银行服务的效率和可靠性，希望获得高质量的综合金融服务和稳健的理财业绩。(完)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E53333"/>
          <w:kern w:val="0"/>
          <w:sz w:val="24"/>
          <w:szCs w:val="24"/>
        </w:rPr>
        <w:t>投资时报·2014新贵阶层投资报告part3</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新贵出海投资地 最喜美加和香港</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未来两年内，预计中国富豪跨境多元化配置会进一步增加，其中固定收益类产品和房地产仍为主要投资类别。</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随着全球经济一体化的日益发展，各国间的贸易关系不断深化，资本的国际流动也成为必然趋势，资本全球化时代逐渐到来。一方面，由于看好中国经济长期发展趋势，境外投资者对中国资本市场的投资愿望在逐渐增强；另一方面，中国的高净值人士虽然投资和生活的主要重心在国内，目光也开始更多地投向海外市场，投资需求向多区域、多币种、多形式的跨境多元化配置转变。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2008年，境外投资在高净值人群可投资资产总量中的占比尚不足10%，但过去五年间，这一比例显着提高，2012年升至20%左右。未来两年内，预计跨境多元化配置会进一步增加，其中固定收益类产品和房地产为主要投资类别。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超三成高净值人士持有境外投资</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调研结果显示，超过30%的高净值人士、超过50%的超高净值人士持有境外投资。在已持有境外投资的高净值人群中，有将近60%的受访者表示未来会进</w:t>
      </w:r>
      <w:r w:rsidRPr="008116D0">
        <w:rPr>
          <w:rFonts w:ascii="微软雅黑" w:eastAsia="微软雅黑" w:hAnsi="微软雅黑" w:cs="宋体" w:hint="eastAsia"/>
          <w:color w:val="000000"/>
          <w:kern w:val="0"/>
          <w:sz w:val="24"/>
          <w:szCs w:val="24"/>
        </w:rPr>
        <w:lastRenderedPageBreak/>
        <w:t xml:space="preserve">一步增加境外投资金额。在目前没有境外投资的高净值人士中，超过50%的受访人士表示计划未来开始境外投资。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高净值人群进行跨境多元化配置的动力有三个方面：第一，随着境内外市场信息交流的增加，中国高净值人群对境外投资市场逐步了解，受到境外市场多样化的投资产品和投资区域的吸引，希望更多捕捉境外市场的投资机会；第二，由于世界不同区域经济和主要投资市场间存在着此消彼长的关系，因此部分高净值人士希望通过跨区域的多元化配置，达到一定分散、对冲风险的目的；第三，出于子女出国接受教育和移民生活的需要，部分高净值人士未来一部分时间会停留在国外，因此增加境外资产配置成为必然需求。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海外配置首选固定收益类产品</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调研结果发现，海外投资与资产规模有一定正相关性，资产规模越大的客户使用海外金融服务的概率越高。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投资海外不仅仅吸引超高净值客户，很多入门级私人银行客户也开始使用离岸金融服务，证实这一庞大基础客户群的增长，推动提升了使用离岸金融服务的总人群。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但总体而言，海外资产总量占比并不高。在拥有海外资产的高净值人群中，近六成人士的海外资产在其资产总量中只占不到10%。结合这些人士的总资产规模进行加权平均计算，海外资产占这部分客户总可投资资产的比例约为14%。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在境外投资中，固定收益类产品、房地产和股票是现阶段中国高净值人群的主流投资类别。接近50%的受访者希望在境外投资市场投资债券等固定收益类产品。这类产品风险较低、收益稳定，符合高净值人士资产保值、增值方面的需求。约30%的受访者表示会投资房地产市场，一方面可以满足自住需求，如为未来子女出国接受教育做准备；另一方面，在经历了次贷危机后，投资者认为北美的房地产市场存在一些短期内价格被低估的投资标的，具有一定的投资机会。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此外，接近30%的高净值人士对投资海外股票市场表示兴趣。但由于境外投资环境对中国高净值人群来说相对陌生且理财产品相对复杂，因此预计高净值人群在进行跨境多元化配置时，对财富管理机构提供的专业投资理财服务的需求将进一步提升。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海外资产配置集中三地</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在海外目的地的选择上，中国香港、美国和加拿大是中国高净值客户海外资产配置的主要集中地，这三地集中了高净值客户海外资产量的60%左右。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我们注意到，这三地同时也是海外移民的热门目的地。当离岸中心同时也是良好的客户定居地时，该目的地将具有更强的吸引力。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瑞士则提供另一种选择，深入比较高净值客户选择中国香港、美国和瑞士作为离岸财富管理目的地的驱动因素，我们发现，中国香港和美国有相似之处，移民和子女留学以及资产的保值增值是首要考虑，而选择瑞士的核心目的都是围绕着资产的保值增值、资产的安全与私密性等。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lastRenderedPageBreak/>
        <w:t xml:space="preserve">    我们推断由于瑞士传统上引以为傲的客户保密制度越来越受到美国等发达国家的挑战，而瑞士本身又是一个非移民国家(瑞士是世界上移民门槛最高的国家之一)，它对中国高净值客户的吸引力会不断下降，很快就会被目前排名第五的新加坡迎头赶上。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投资移民意愿依旧强烈</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调研结果显示，约60%的高净值人士表示自己正在考虑或已经完成投资移民，与两年前比例大致持平。超高净值人群中该比例超过70%。另外，数据显示，全部受访者中有约10%表示自己不移民，但会为子女办理移民。他们希望通过投资移民为子女教育创建平台，为子女海外学习生活做好铺垫。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关于投资移民的主要原因，跨境多元化配置、子女教育以及养老规划等因素在受访的高净值人士中提及率较高。另外，近年来国内的环境问题加剧亦成为高净值人士考虑投资移民的原因之一。部分受访者对于国内空气、饮用水以及食品卫生安全等问题表示担忧。伴随着投资移民趋势的持续，中国高净值人群对移民相关的金融、税务和法律咨询等综合服务的需求将进一步扩大。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E53333"/>
          <w:kern w:val="0"/>
          <w:sz w:val="24"/>
          <w:szCs w:val="24"/>
        </w:rPr>
        <w:t>特别观察</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富豪乐于送孩子出国留学</w:t>
      </w:r>
      <w:r w:rsidRPr="008116D0">
        <w:rPr>
          <w:rFonts w:ascii="微软雅黑" w:eastAsia="微软雅黑" w:hAnsi="微软雅黑" w:cs="宋体" w:hint="eastAsia"/>
          <w:color w:val="000000"/>
          <w:kern w:val="0"/>
          <w:sz w:val="24"/>
          <w:szCs w:val="24"/>
        </w:rPr>
        <w:t xml:space="preserve">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子女教育是富豪最关心的话题之一，而送孩子去海外留学已成为安排孩子教育的首选方式，8成富豪计划让孩子接受海外教育，其中64%计划在大学前送</w:t>
      </w:r>
      <w:r w:rsidRPr="008116D0">
        <w:rPr>
          <w:rFonts w:ascii="微软雅黑" w:eastAsia="微软雅黑" w:hAnsi="微软雅黑" w:cs="宋体" w:hint="eastAsia"/>
          <w:color w:val="000000"/>
          <w:kern w:val="0"/>
          <w:sz w:val="24"/>
          <w:szCs w:val="24"/>
        </w:rPr>
        <w:lastRenderedPageBreak/>
        <w:t xml:space="preserve">孩子出国，高中被认为是最适合出国留学的时间。出国留学的平均年龄为17岁，大约在高中二年级。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英语国家是主流海外教育目的地，美国、英国、加拿大在过去五年中稳居前三。选择瑞士的有所上升，超过英语国家澳大利亚，位列第四，而日本掉出前十。此外，一线城市富豪更加青睐美国作为留学目的地，而二三线城市更加青睐英国。 </w:t>
      </w:r>
    </w:p>
    <w:p w:rsidR="008116D0"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值得注意的是，主要的国际留学目的地，往往也是流行的海外度假房所在地，澳洲、加拿大和美国位列海外度假房所在地前三名。而随着瑞士留学的增加，瑞士海外度假房购买也有所上升。另据预测，美国将是海外置产的首选目的地，尤以西海岸为主。 </w:t>
      </w:r>
    </w:p>
    <w:p w:rsidR="002713A6" w:rsidRPr="008116D0" w:rsidRDefault="008116D0" w:rsidP="008116D0">
      <w:pPr>
        <w:widowControl/>
        <w:spacing w:before="100" w:beforeAutospacing="1" w:after="100" w:afterAutospacing="1" w:line="380" w:lineRule="atLeast"/>
        <w:jc w:val="left"/>
        <w:rPr>
          <w:rFonts w:ascii="微软雅黑" w:eastAsia="微软雅黑" w:hAnsi="微软雅黑" w:cs="宋体"/>
          <w:color w:val="000000"/>
          <w:kern w:val="0"/>
          <w:sz w:val="24"/>
          <w:szCs w:val="24"/>
        </w:rPr>
      </w:pPr>
      <w:r w:rsidRPr="008116D0">
        <w:rPr>
          <w:rFonts w:ascii="微软雅黑" w:eastAsia="微软雅黑" w:hAnsi="微软雅黑" w:cs="宋体" w:hint="eastAsia"/>
          <w:color w:val="000000"/>
          <w:kern w:val="0"/>
          <w:sz w:val="24"/>
          <w:szCs w:val="24"/>
        </w:rPr>
        <w:t xml:space="preserve">    </w:t>
      </w:r>
      <w:r w:rsidRPr="008116D0">
        <w:rPr>
          <w:rFonts w:ascii="微软雅黑" w:eastAsia="微软雅黑" w:hAnsi="微软雅黑" w:cs="宋体" w:hint="eastAsia"/>
          <w:b/>
          <w:bCs/>
          <w:color w:val="000000"/>
          <w:kern w:val="0"/>
          <w:sz w:val="24"/>
          <w:szCs w:val="24"/>
        </w:rPr>
        <w:t>来源：投资时报   记者：苏慧</w:t>
      </w:r>
      <w:r w:rsidRPr="008116D0">
        <w:rPr>
          <w:rFonts w:ascii="微软雅黑" w:eastAsia="微软雅黑" w:hAnsi="微软雅黑" w:cs="宋体" w:hint="eastAsia"/>
          <w:color w:val="000000"/>
          <w:kern w:val="0"/>
          <w:sz w:val="24"/>
          <w:szCs w:val="24"/>
        </w:rPr>
        <w:t xml:space="preserve"> </w:t>
      </w:r>
    </w:p>
    <w:sectPr w:rsidR="002713A6" w:rsidRPr="008116D0" w:rsidSect="002713A6">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0D2" w:rsidRDefault="003E50D2" w:rsidP="00A842E4">
      <w:r>
        <w:separator/>
      </w:r>
    </w:p>
  </w:endnote>
  <w:endnote w:type="continuationSeparator" w:id="1">
    <w:p w:rsidR="003E50D2" w:rsidRDefault="003E50D2" w:rsidP="00A842E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6EB" w:rsidRDefault="00E746EB">
    <w:pPr>
      <w:pStyle w:val="a6"/>
    </w:pPr>
    <w:r>
      <w:rPr>
        <w:noProof/>
      </w:rPr>
      <w:pict>
        <v:group id="_x0000_s3073" style="position:absolute;margin-left:0;margin-top:0;width:580.05pt;height:27.35pt;z-index:251660288;mso-position-horizontal:center;mso-position-horizontal-relative:page;mso-position-vertical:top;mso-position-vertical-relative:line" coordorigin="321,14850" coordsize="11601,547">
          <v:rect id="_x0000_s3074" style="position:absolute;left:374;top:14903;width:9346;height:432;mso-position-horizontal-relative:page;mso-position-vertical:center;mso-position-vertical-relative:bottom-margin-area" o:allowincell="f" fillcolor="#943634 [2405]" stroked="f" strokecolor="#943634 [2405]">
            <v:fill color2="#943634 [2405]"/>
            <v:textbox style="mso-next-textbox:#_x0000_s3074">
              <w:txbxContent>
                <w:sdt>
                  <w:sdtPr>
                    <w:rPr>
                      <w:color w:val="FFFFFF" w:themeColor="background1"/>
                      <w:spacing w:val="60"/>
                    </w:rPr>
                    <w:alias w:val="地址"/>
                    <w:id w:val="79885540"/>
                    <w:placeholder>
                      <w:docPart w:val="607DEA3403E44895805C9D75454C494C"/>
                    </w:placeholder>
                    <w:dataBinding w:prefixMappings="xmlns:ns0='http://schemas.microsoft.com/office/2006/coverPageProps'" w:xpath="/ns0:CoverPageProperties[1]/ns0:CompanyAddress[1]" w:storeItemID="{55AF091B-3C7A-41E3-B477-F2FDAA23CFDA}"/>
                    <w:text w:multiLine="1"/>
                  </w:sdtPr>
                  <w:sdtContent>
                    <w:p w:rsidR="00E746EB" w:rsidRDefault="00E746EB">
                      <w:pPr>
                        <w:pStyle w:val="a6"/>
                        <w:jc w:val="right"/>
                        <w:rPr>
                          <w:color w:val="FFFFFF" w:themeColor="background1"/>
                          <w:spacing w:val="60"/>
                        </w:rPr>
                      </w:pPr>
                      <w:r>
                        <w:rPr>
                          <w:rFonts w:hint="eastAsia"/>
                          <w:color w:val="FFFFFF" w:themeColor="background1"/>
                          <w:spacing w:val="60"/>
                        </w:rPr>
                        <w:t>华泰保险</w:t>
                      </w:r>
                    </w:p>
                  </w:sdtContent>
                </w:sdt>
                <w:p w:rsidR="00E746EB" w:rsidRDefault="00E746EB">
                  <w:pPr>
                    <w:pStyle w:val="a5"/>
                    <w:rPr>
                      <w:color w:val="FFFFFF" w:themeColor="background1"/>
                    </w:rPr>
                  </w:pPr>
                </w:p>
              </w:txbxContent>
            </v:textbox>
          </v:rect>
          <v:rect id="_x0000_s3075" style="position:absolute;left:9763;top:14903;width:2102;height:432;mso-position-horizontal-relative:page;mso-position-vertical:center;mso-position-vertical-relative:bottom-margin-area" o:allowincell="f" fillcolor="#943634 [2405]" stroked="f">
            <v:fill color2="#943634 [2405]"/>
            <v:textbox style="mso-next-textbox:#_x0000_s3075">
              <w:txbxContent>
                <w:p w:rsidR="00E746EB" w:rsidRDefault="00E746EB">
                  <w:pPr>
                    <w:pStyle w:val="a6"/>
                    <w:rPr>
                      <w:color w:val="FFFFFF" w:themeColor="background1"/>
                    </w:rPr>
                  </w:pPr>
                  <w:r>
                    <w:rPr>
                      <w:color w:val="FFFFFF" w:themeColor="background1"/>
                      <w:lang w:val="zh-CN"/>
                    </w:rPr>
                    <w:t xml:space="preserve"> </w:t>
                  </w:r>
                  <w:fldSimple w:instr=" PAGE   \* MERGEFORMAT ">
                    <w:r w:rsidRPr="00E746EB">
                      <w:rPr>
                        <w:noProof/>
                        <w:color w:val="FFFFFF" w:themeColor="background1"/>
                        <w:lang w:val="zh-CN"/>
                      </w:rPr>
                      <w:t>2</w:t>
                    </w:r>
                  </w:fldSimple>
                </w:p>
              </w:txbxContent>
            </v:textbox>
          </v:rect>
          <v:rect id="_x0000_s3076" style="position:absolute;left:321;top:14850;width:11601;height:547;mso-width-percent:950;mso-position-horizontal:center;mso-position-horizontal-relative:page;mso-position-vertical:center;mso-position-vertical-relative:bottom-margin-area;mso-width-percent:950" o:allowincell="f" filled="f"/>
          <w10:wrap type="topAndBottom" anchorx="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0D2" w:rsidRDefault="003E50D2" w:rsidP="00A842E4">
      <w:r>
        <w:separator/>
      </w:r>
    </w:p>
  </w:footnote>
  <w:footnote w:type="continuationSeparator" w:id="1">
    <w:p w:rsidR="003E50D2" w:rsidRDefault="003E50D2" w:rsidP="00A842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6EB" w:rsidRPr="00E746EB" w:rsidRDefault="00E746EB" w:rsidP="00E746EB">
    <w:pPr>
      <w:pStyle w:val="a5"/>
      <w:jc w:val="both"/>
    </w:pPr>
    <w:r w:rsidRPr="0015526D">
      <w:rPr>
        <w:noProof/>
      </w:rPr>
      <w:drawing>
        <wp:inline distT="0" distB="0" distL="0" distR="0">
          <wp:extent cx="1009650" cy="323850"/>
          <wp:effectExtent l="19050" t="0" r="0" b="0"/>
          <wp:docPr id="2" name="图片 1" descr="F:\工作文件二\2012年华泰人寿\华泰人寿办公室\华泰保险PP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F:\工作文件二\2012年华泰人寿\华泰人寿办公室\华泰保险PPT\logo.png"/>
                  <pic:cNvPicPr>
                    <a:picLocks noChangeAspect="1" noChangeArrowheads="1"/>
                  </pic:cNvPicPr>
                </pic:nvPicPr>
                <pic:blipFill>
                  <a:blip r:embed="rId1"/>
                  <a:srcRect r="41801"/>
                  <a:stretch>
                    <a:fillRect/>
                  </a:stretch>
                </pic:blipFill>
                <pic:spPr bwMode="auto">
                  <a:xfrm>
                    <a:off x="0" y="0"/>
                    <a:ext cx="1009650" cy="323850"/>
                  </a:xfrm>
                  <a:prstGeom prst="rect">
                    <a:avLst/>
                  </a:prstGeom>
                  <a:noFill/>
                  <a:ln w="9525">
                    <a:noFill/>
                    <a:miter lim="800000"/>
                    <a:headEnd/>
                    <a:tailEnd/>
                  </a:ln>
                </pic:spPr>
              </pic:pic>
            </a:graphicData>
          </a:graphic>
        </wp:inline>
      </w:drawing>
    </w:r>
    <w:r>
      <w:rPr>
        <w:rFonts w:hint="eastAsia"/>
      </w:rPr>
      <w:t xml:space="preserve">                </w:t>
    </w:r>
    <w:r>
      <w:rPr>
        <w:rFonts w:hint="eastAsia"/>
      </w:rPr>
      <w:t>河南银保部《华泰天空》阅读材料</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16D0"/>
    <w:rsid w:val="002713A6"/>
    <w:rsid w:val="003E50D2"/>
    <w:rsid w:val="004E1FC7"/>
    <w:rsid w:val="008116D0"/>
    <w:rsid w:val="00A842E4"/>
    <w:rsid w:val="00E746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3A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116D0"/>
    <w:rPr>
      <w:b/>
      <w:bCs/>
    </w:rPr>
  </w:style>
  <w:style w:type="paragraph" w:styleId="a4">
    <w:name w:val="Balloon Text"/>
    <w:basedOn w:val="a"/>
    <w:link w:val="Char"/>
    <w:uiPriority w:val="99"/>
    <w:semiHidden/>
    <w:unhideWhenUsed/>
    <w:rsid w:val="008116D0"/>
    <w:rPr>
      <w:sz w:val="18"/>
      <w:szCs w:val="18"/>
    </w:rPr>
  </w:style>
  <w:style w:type="character" w:customStyle="1" w:styleId="Char">
    <w:name w:val="批注框文本 Char"/>
    <w:basedOn w:val="a0"/>
    <w:link w:val="a4"/>
    <w:uiPriority w:val="99"/>
    <w:semiHidden/>
    <w:rsid w:val="008116D0"/>
    <w:rPr>
      <w:sz w:val="18"/>
      <w:szCs w:val="18"/>
    </w:rPr>
  </w:style>
  <w:style w:type="paragraph" w:styleId="a5">
    <w:name w:val="header"/>
    <w:basedOn w:val="a"/>
    <w:link w:val="Char0"/>
    <w:uiPriority w:val="99"/>
    <w:unhideWhenUsed/>
    <w:rsid w:val="00A842E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842E4"/>
    <w:rPr>
      <w:sz w:val="18"/>
      <w:szCs w:val="18"/>
    </w:rPr>
  </w:style>
  <w:style w:type="paragraph" w:styleId="a6">
    <w:name w:val="footer"/>
    <w:basedOn w:val="a"/>
    <w:link w:val="Char1"/>
    <w:uiPriority w:val="99"/>
    <w:unhideWhenUsed/>
    <w:rsid w:val="00A842E4"/>
    <w:pPr>
      <w:tabs>
        <w:tab w:val="center" w:pos="4153"/>
        <w:tab w:val="right" w:pos="8306"/>
      </w:tabs>
      <w:snapToGrid w:val="0"/>
      <w:jc w:val="left"/>
    </w:pPr>
    <w:rPr>
      <w:sz w:val="18"/>
      <w:szCs w:val="18"/>
    </w:rPr>
  </w:style>
  <w:style w:type="character" w:customStyle="1" w:styleId="Char1">
    <w:name w:val="页脚 Char"/>
    <w:basedOn w:val="a0"/>
    <w:link w:val="a6"/>
    <w:uiPriority w:val="99"/>
    <w:rsid w:val="00A842E4"/>
    <w:rPr>
      <w:sz w:val="18"/>
      <w:szCs w:val="18"/>
    </w:rPr>
  </w:style>
</w:styles>
</file>

<file path=word/webSettings.xml><?xml version="1.0" encoding="utf-8"?>
<w:webSettings xmlns:r="http://schemas.openxmlformats.org/officeDocument/2006/relationships" xmlns:w="http://schemas.openxmlformats.org/wordprocessingml/2006/main">
  <w:divs>
    <w:div w:id="1111969991">
      <w:bodyDiv w:val="1"/>
      <w:marLeft w:val="0"/>
      <w:marRight w:val="0"/>
      <w:marTop w:val="0"/>
      <w:marBottom w:val="0"/>
      <w:divBdr>
        <w:top w:val="none" w:sz="0" w:space="0" w:color="auto"/>
        <w:left w:val="none" w:sz="0" w:space="0" w:color="auto"/>
        <w:bottom w:val="none" w:sz="0" w:space="0" w:color="auto"/>
        <w:right w:val="none" w:sz="0" w:space="0" w:color="auto"/>
      </w:divBdr>
      <w:divsChild>
        <w:div w:id="2048290572">
          <w:marLeft w:val="0"/>
          <w:marRight w:val="0"/>
          <w:marTop w:val="0"/>
          <w:marBottom w:val="0"/>
          <w:divBdr>
            <w:top w:val="none" w:sz="0" w:space="0" w:color="auto"/>
            <w:left w:val="none" w:sz="0" w:space="0" w:color="auto"/>
            <w:bottom w:val="none" w:sz="0" w:space="0" w:color="auto"/>
            <w:right w:val="none" w:sz="0" w:space="0" w:color="auto"/>
          </w:divBdr>
          <w:divsChild>
            <w:div w:id="492068593">
              <w:marLeft w:val="0"/>
              <w:marRight w:val="0"/>
              <w:marTop w:val="0"/>
              <w:marBottom w:val="0"/>
              <w:divBdr>
                <w:top w:val="none" w:sz="0" w:space="0" w:color="auto"/>
                <w:left w:val="none" w:sz="0" w:space="0" w:color="auto"/>
                <w:bottom w:val="none" w:sz="0" w:space="0" w:color="auto"/>
                <w:right w:val="none" w:sz="0" w:space="0" w:color="auto"/>
              </w:divBdr>
              <w:divsChild>
                <w:div w:id="882861417">
                  <w:marLeft w:val="0"/>
                  <w:marRight w:val="0"/>
                  <w:marTop w:val="0"/>
                  <w:marBottom w:val="0"/>
                  <w:divBdr>
                    <w:top w:val="none" w:sz="0" w:space="0" w:color="auto"/>
                    <w:left w:val="none" w:sz="0" w:space="0" w:color="auto"/>
                    <w:bottom w:val="none" w:sz="0" w:space="0" w:color="auto"/>
                    <w:right w:val="none" w:sz="0" w:space="0" w:color="auto"/>
                  </w:divBdr>
                  <w:divsChild>
                    <w:div w:id="2118520778">
                      <w:marLeft w:val="0"/>
                      <w:marRight w:val="0"/>
                      <w:marTop w:val="0"/>
                      <w:marBottom w:val="0"/>
                      <w:divBdr>
                        <w:top w:val="none" w:sz="0" w:space="0" w:color="auto"/>
                        <w:left w:val="none" w:sz="0" w:space="0" w:color="auto"/>
                        <w:bottom w:val="none" w:sz="0" w:space="0" w:color="auto"/>
                        <w:right w:val="none" w:sz="0" w:space="0" w:color="auto"/>
                      </w:divBdr>
                    </w:div>
                    <w:div w:id="130642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ai.com/Simu/FundList.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icai.com/simu/" TargetMode="External"/><Relationship Id="rId4" Type="http://schemas.openxmlformats.org/officeDocument/2006/relationships/webSettings" Target="webSettings.xml"/><Relationship Id="rId9" Type="http://schemas.openxmlformats.org/officeDocument/2006/relationships/hyperlink" Target="http://www.licai.com/Simu/FundRank.aspx"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07DEA3403E44895805C9D75454C494C"/>
        <w:category>
          <w:name w:val="常规"/>
          <w:gallery w:val="placeholder"/>
        </w:category>
        <w:types>
          <w:type w:val="bbPlcHdr"/>
        </w:types>
        <w:behaviors>
          <w:behavior w:val="content"/>
        </w:behaviors>
        <w:guid w:val="{D634F3D2-BE7A-4731-8777-B659F0A2B203}"/>
      </w:docPartPr>
      <w:docPartBody>
        <w:p w:rsidR="00000000" w:rsidRDefault="004B4501" w:rsidP="004B4501">
          <w:pPr>
            <w:pStyle w:val="607DEA3403E44895805C9D75454C494C"/>
          </w:pPr>
          <w:r>
            <w:rPr>
              <w:color w:val="FFFFFF" w:themeColor="background1"/>
              <w:spacing w:val="60"/>
              <w:lang w:val="zh-CN"/>
            </w:rPr>
            <w:t>[</w:t>
          </w:r>
          <w:r>
            <w:rPr>
              <w:color w:val="FFFFFF" w:themeColor="background1"/>
              <w:spacing w:val="60"/>
              <w:lang w:val="zh-CN"/>
            </w:rPr>
            <w:t>键入公司地址</w:t>
          </w:r>
          <w:r>
            <w:rPr>
              <w:color w:val="FFFFFF" w:themeColor="background1"/>
              <w:spacing w:val="60"/>
              <w:lang w:val="zh-CN"/>
            </w:rPr>
            <w: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B4501"/>
    <w:rsid w:val="004B4501"/>
    <w:rsid w:val="008526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07DEA3403E44895805C9D75454C494C">
    <w:name w:val="607DEA3403E44895805C9D75454C494C"/>
    <w:rsid w:val="004B4501"/>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华泰保险</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18</Pages>
  <Words>1490</Words>
  <Characters>8498</Characters>
  <Application>Microsoft Office Word</Application>
  <DocSecurity>0</DocSecurity>
  <Lines>70</Lines>
  <Paragraphs>19</Paragraphs>
  <ScaleCrop>false</ScaleCrop>
  <Company/>
  <LinksUpToDate>false</LinksUpToDate>
  <CharactersWithSpaces>9969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liuqing02</dc:creator>
  <cp:keywords/>
  <dc:description/>
  <cp:lastModifiedBy>liuqing02</cp:lastModifiedBy>
  <cp:revision>2</cp:revision>
  <dcterms:created xsi:type="dcterms:W3CDTF">2014-02-24T00:33:00Z</dcterms:created>
  <dcterms:modified xsi:type="dcterms:W3CDTF">2014-02-24T05:10:00Z</dcterms:modified>
</cp:coreProperties>
</file>